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284"/>
        <w:gridCol w:w="1134"/>
        <w:gridCol w:w="441"/>
        <w:gridCol w:w="337"/>
        <w:gridCol w:w="72"/>
        <w:gridCol w:w="32"/>
        <w:gridCol w:w="110"/>
        <w:gridCol w:w="283"/>
        <w:gridCol w:w="199"/>
        <w:gridCol w:w="510"/>
        <w:gridCol w:w="82"/>
        <w:gridCol w:w="60"/>
        <w:gridCol w:w="532"/>
        <w:gridCol w:w="460"/>
        <w:gridCol w:w="1276"/>
        <w:gridCol w:w="146"/>
        <w:gridCol w:w="137"/>
        <w:gridCol w:w="1418"/>
        <w:gridCol w:w="2268"/>
      </w:tblGrid>
      <w:tr>
        <w:trPr>
          <w:trHeight w:hRule="exact" w:val="277.83"/>
        </w:trPr>
        <w:tc>
          <w:tcPr>
            <w:tcW w:w="10221" w:type="dxa"/>
            <w:gridSpan w:val="20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МИНИСТЕРСТВО ПРОСВЕЩЕНИЯ РОССИЙСКОЙ ФЕДЕРАЦИИ</w:t>
            </w:r>
          </w:p>
        </w:tc>
      </w:tr>
      <w:tr>
        <w:trPr>
          <w:trHeight w:hRule="exact" w:val="138.915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284" w:type="dxa"/>
          </w:tcPr>
          <w:p/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1111.32"/>
        </w:trPr>
        <w:tc>
          <w:tcPr>
            <w:tcW w:w="10221" w:type="dxa"/>
            <w:gridSpan w:val="20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федеральное государственное бюджетное образовательное учреждение высшего образования «Красноярский государственный педагогический университет</w:t>
            </w:r>
          </w:p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им. В.П. Астафьева»</w:t>
            </w:r>
          </w:p>
        </w:tc>
      </w:tr>
      <w:tr>
        <w:trPr>
          <w:trHeight w:hRule="exact" w:val="138.9151"/>
        </w:trPr>
        <w:tc>
          <w:tcPr>
            <w:tcW w:w="10221" w:type="dxa"/>
            <w:gridSpan w:val="20"/>
            <w:tcBorders>
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(КГПУ им. В.П. Астафьева)</w:t>
            </w:r>
          </w:p>
        </w:tc>
      </w:tr>
      <w:tr>
        <w:trPr>
          <w:trHeight w:hRule="exact" w:val="138.9149"/>
        </w:trPr>
        <w:tc>
          <w:tcPr>
            <w:tcW w:w="10221" w:type="dxa"/>
            <w:gridSpan w:val="20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416.7451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284" w:type="dxa"/>
          </w:tcPr>
          <w:p/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965.2018"/>
        </w:trPr>
        <w:tc>
          <w:tcPr>
            <w:tcW w:w="10221" w:type="dxa"/>
            <w:gridSpan w:val="20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40"/>
                <w:szCs w:val="40"/>
              </w:rPr>
              <w:t> МОДУЛЬ 3 "ПРЕДМЕТНО-СОДЕРЖАТЕЛЬНЫЙ"</w:t>
            </w:r>
          </w:p>
          <w:p>
            <w:pPr>
              <w:jc w:val="center"/>
              <w:spacing w:after="0" w:line="240" w:lineRule="auto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40"/>
                <w:szCs w:val="40"/>
              </w:rPr>
              <w:t> Программирование</w:t>
            </w:r>
          </w:p>
        </w:tc>
      </w:tr>
      <w:tr>
        <w:trPr>
          <w:trHeight w:hRule="exact" w:val="416.7451"/>
        </w:trPr>
        <w:tc>
          <w:tcPr>
            <w:tcW w:w="10221" w:type="dxa"/>
            <w:gridSpan w:val="20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#000000"/>
                <w:sz w:val="36"/>
                <w:szCs w:val="36"/>
              </w:rPr>
              <w:t> рабочая программа дисциплины (модуля)</w:t>
            </w:r>
          </w:p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284" w:type="dxa"/>
          </w:tcPr>
          <w:p/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210.85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Закреплена за кафедрой</w:t>
            </w:r>
          </w:p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7386" w:type="dxa"/>
            <w:gridSpan w:val="1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0"/>
                <w:szCs w:val="20"/>
              </w:rPr>
              <w:t> D8 Информатики и информационных технологий в образовании</w:t>
            </w:r>
          </w:p>
        </w:tc>
      </w:tr>
      <w:tr>
        <w:trPr>
          <w:trHeight w:hRule="exact" w:val="138.9152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284" w:type="dxa"/>
          </w:tcPr>
          <w:p/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424.75" w:type="dxa"/>
            <w:gridSpan w:val="7"/>
            <w:tcBorders>
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Квалификация</w:t>
            </w:r>
          </w:p>
        </w:tc>
        <w:tc>
          <w:tcPr>
            <w:tcW w:w="7386" w:type="dxa"/>
            <w:gridSpan w:val="1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магистр</w:t>
            </w:r>
          </w:p>
        </w:tc>
      </w:tr>
      <w:tr>
        <w:trPr>
          <w:trHeight w:hRule="exact" w:val="423.9484"/>
        </w:trPr>
        <w:tc>
          <w:tcPr>
            <w:tcW w:w="426" w:type="dxa"/>
          </w:tcPr>
          <w:p/>
        </w:tc>
        <w:tc>
          <w:tcPr>
            <w:tcW w:w="2424.75" w:type="dxa"/>
            <w:gridSpan w:val="7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386" w:type="dxa"/>
            <w:gridSpan w:val="1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44.04.01 Технологии цифровизации образовательной деятельности (с применением сетевой формы)( з, 2024).plx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Направление подготовки 44.04.01 Педагогическое образование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Направленность (профиль) образовательной программы: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Технология цифровизации образовательной деятельности (с применением сетевой формы)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Выпускающая кафедра: Информатики и нформационных технологий в образовании</w:t>
            </w:r>
          </w:p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Форма обучения</w:t>
            </w:r>
          </w:p>
        </w:tc>
        <w:tc>
          <w:tcPr>
            <w:tcW w:w="7386" w:type="dxa"/>
            <w:gridSpan w:val="1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заочная</w:t>
            </w:r>
          </w:p>
        </w:tc>
      </w:tr>
      <w:tr>
        <w:trPr>
          <w:trHeight w:hRule="exact" w:val="573.2996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7386" w:type="dxa"/>
            <w:gridSpan w:val="1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1111.321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284" w:type="dxa"/>
          </w:tcPr>
          <w:p/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283" w:type="dxa"/>
            <w:gridSpan w:val="5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Общая трудоемкость</w:t>
            </w:r>
          </w:p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5118" w:type="dxa"/>
            <w:gridSpan w:val="11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 ЗЕТ</w:t>
            </w:r>
          </w:p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284" w:type="dxa"/>
          </w:tcPr>
          <w:p/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5"/>
        </w:trPr>
        <w:tc>
          <w:tcPr>
            <w:tcW w:w="426" w:type="dxa"/>
          </w:tcPr>
          <w:p/>
        </w:tc>
        <w:tc>
          <w:tcPr>
            <w:tcW w:w="2708.25" w:type="dxa"/>
            <w:gridSpan w:val="8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Часов по учебному плану</w:t>
            </w:r>
          </w:p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216</w:t>
            </w:r>
          </w:p>
        </w:tc>
        <w:tc>
          <w:tcPr>
            <w:tcW w:w="1277" w:type="dxa"/>
          </w:tcPr>
          <w:p/>
        </w:tc>
        <w:tc>
          <w:tcPr>
            <w:tcW w:w="3984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Виды контроля  в семестрах:</w:t>
            </w:r>
          </w:p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том числе:</w:t>
            </w:r>
          </w:p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3700.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экзамены 2</w:t>
            </w:r>
          </w:p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аудиторные занятия</w:t>
            </w:r>
          </w:p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22</w:t>
            </w:r>
          </w:p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 работа</w:t>
            </w:r>
          </w:p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185</w:t>
            </w:r>
          </w:p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555.6589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3133.5" w:type="dxa"/>
            <w:gridSpan w:val="9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контактная работа во время промежуточной аттестации (ИКР)</w:t>
            </w:r>
          </w:p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284" w:type="dxa"/>
          </w:tcPr>
          <w:p/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138.9143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284" w:type="dxa"/>
          </w:tcPr>
          <w:p/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часов на контроль</w:t>
            </w:r>
          </w:p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8,67</w:t>
            </w:r>
          </w:p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442" w:type="dxa"/>
          </w:tcPr>
          <w:p/>
        </w:tc>
        <w:tc>
          <w:tcPr>
            <w:tcW w:w="338" w:type="dxa"/>
          </w:tcPr>
          <w:p/>
        </w:tc>
        <w:tc>
          <w:tcPr>
            <w:tcW w:w="73" w:type="dxa"/>
          </w:tcPr>
          <w:p/>
        </w:tc>
        <w:tc>
          <w:tcPr>
            <w:tcW w:w="33" w:type="dxa"/>
          </w:tcPr>
          <w:p/>
        </w:tc>
        <w:tc>
          <w:tcPr>
            <w:tcW w:w="111" w:type="dxa"/>
          </w:tcPr>
          <w:p/>
        </w:tc>
        <w:tc>
          <w:tcPr>
            <w:tcW w:w="284" w:type="dxa"/>
          </w:tcPr>
          <w:p/>
        </w:tc>
        <w:tc>
          <w:tcPr>
            <w:tcW w:w="200" w:type="dxa"/>
          </w:tcPr>
          <w:p/>
        </w:tc>
        <w:tc>
          <w:tcPr>
            <w:tcW w:w="511" w:type="dxa"/>
          </w:tcPr>
          <w:p/>
        </w:tc>
        <w:tc>
          <w:tcPr>
            <w:tcW w:w="83" w:type="dxa"/>
          </w:tcPr>
          <w:p/>
        </w:tc>
        <w:tc>
          <w:tcPr>
            <w:tcW w:w="61" w:type="dxa"/>
          </w:tcPr>
          <w:p/>
        </w:tc>
        <w:tc>
          <w:tcPr>
            <w:tcW w:w="533" w:type="dxa"/>
          </w:tcPr>
          <w:p/>
        </w:tc>
        <w:tc>
          <w:tcPr>
            <w:tcW w:w="461" w:type="dxa"/>
          </w:tcPr>
          <w:p/>
        </w:tc>
        <w:tc>
          <w:tcPr>
            <w:tcW w:w="1277" w:type="dxa"/>
          </w:tcPr>
          <w:p/>
        </w:tc>
        <w:tc>
          <w:tcPr>
            <w:tcW w:w="147" w:type="dxa"/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6398.25" w:type="dxa"/>
            <w:gridSpan w:val="1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Распределение часов дисциплины по семестрам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727.2086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Семестр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(&lt;Курс&gt;.&lt;Семестр на курсе&gt;)</w:t>
            </w:r>
          </w:p>
        </w:tc>
        <w:tc>
          <w:tcPr>
            <w:tcW w:w="897.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1 (1.1)</w:t>
            </w:r>
          </w:p>
        </w:tc>
        <w:tc>
          <w:tcPr>
            <w:tcW w:w="1199.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 (1.2)</w:t>
            </w:r>
          </w:p>
        </w:tc>
        <w:tc>
          <w:tcPr>
            <w:tcW w:w="2488.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Итого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Недель</w:t>
            </w:r>
          </w:p>
        </w:tc>
        <w:tc>
          <w:tcPr>
            <w:tcW w:w="897.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1199.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13 1/6</w:t>
            </w:r>
          </w:p>
        </w:tc>
        <w:tc>
          <w:tcPr>
            <w:tcW w:w="2488.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/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Вид занятий</w:t>
            </w:r>
          </w:p>
        </w:tc>
        <w:tc>
          <w:tcPr>
            <w:tcW w:w="45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УП</w:t>
            </w:r>
          </w:p>
        </w:tc>
        <w:tc>
          <w:tcPr>
            <w:tcW w:w="45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РП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УП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РП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УП</w:t>
            </w:r>
          </w:p>
        </w:tc>
        <w:tc>
          <w:tcPr>
            <w:tcW w:w="189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РП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Лекции</w:t>
            </w:r>
          </w:p>
        </w:tc>
        <w:tc>
          <w:tcPr>
            <w:tcW w:w="45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45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89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3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Практические</w:t>
            </w:r>
          </w:p>
        </w:tc>
        <w:tc>
          <w:tcPr>
            <w:tcW w:w="45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</w:t>
            </w:r>
          </w:p>
        </w:tc>
        <w:tc>
          <w:tcPr>
            <w:tcW w:w="45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</w:t>
            </w:r>
          </w:p>
        </w:tc>
        <w:tc>
          <w:tcPr>
            <w:tcW w:w="189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946.9738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Контактная работа (промежуточная аттестация) экзамены</w:t>
            </w:r>
          </w:p>
        </w:tc>
        <w:tc>
          <w:tcPr>
            <w:tcW w:w="45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45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189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Итого ауд.</w:t>
            </w:r>
          </w:p>
        </w:tc>
        <w:tc>
          <w:tcPr>
            <w:tcW w:w="45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45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22</w:t>
            </w:r>
          </w:p>
        </w:tc>
        <w:tc>
          <w:tcPr>
            <w:tcW w:w="189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22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Кoнтактная рабoта</w:t>
            </w:r>
          </w:p>
        </w:tc>
        <w:tc>
          <w:tcPr>
            <w:tcW w:w="45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45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10,33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10,33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22,33</w:t>
            </w:r>
          </w:p>
        </w:tc>
        <w:tc>
          <w:tcPr>
            <w:tcW w:w="189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22,33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Сам. работа</w:t>
            </w:r>
          </w:p>
        </w:tc>
        <w:tc>
          <w:tcPr>
            <w:tcW w:w="45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96</w:t>
            </w:r>
          </w:p>
        </w:tc>
        <w:tc>
          <w:tcPr>
            <w:tcW w:w="45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96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89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89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185</w:t>
            </w:r>
          </w:p>
        </w:tc>
        <w:tc>
          <w:tcPr>
            <w:tcW w:w="189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185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3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Часы на контроль</w:t>
            </w:r>
          </w:p>
        </w:tc>
        <w:tc>
          <w:tcPr>
            <w:tcW w:w="45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45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8,67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8,67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8,67</w:t>
            </w:r>
          </w:p>
        </w:tc>
        <w:tc>
          <w:tcPr>
            <w:tcW w:w="189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8,67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Итого</w:t>
            </w:r>
          </w:p>
        </w:tc>
        <w:tc>
          <w:tcPr>
            <w:tcW w:w="45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45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607.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216</w:t>
            </w:r>
          </w:p>
        </w:tc>
        <w:tc>
          <w:tcPr>
            <w:tcW w:w="189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216</w:t>
            </w:r>
          </w:p>
        </w:tc>
        <w:tc>
          <w:tcPr>
            <w:tcW w:w="138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827"/>
        <w:gridCol w:w="1985"/>
        <w:gridCol w:w="4961"/>
      </w:tblGrid>
      <w:tr>
        <w:trPr>
          <w:trHeight w:hRule="exact" w:val="277.83"/>
        </w:trPr>
        <w:tc>
          <w:tcPr>
            <w:tcW w:w="3842.25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Программу составил(и):</w:t>
            </w:r>
          </w:p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3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i/>
                <w:color w:val="#000000"/>
                <w:sz w:val="19"/>
                <w:szCs w:val="19"/>
              </w:rPr>
              <w:t> кпн, Доцент, Яшина Ирина Александровна</w:t>
            </w:r>
          </w:p>
        </w:tc>
      </w:tr>
      <w:tr>
        <w:trPr>
          <w:trHeight w:hRule="exact" w:val="1111.32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301"/>
        </w:trPr>
        <w:tc>
          <w:tcPr>
            <w:tcW w:w="5826.7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Рабочая программа дисциплины</w:t>
            </w:r>
          </w:p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Программирование</w:t>
            </w:r>
          </w:p>
        </w:tc>
      </w:tr>
      <w:tr>
        <w:trPr>
          <w:trHeight w:hRule="exact" w:val="277.8299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5826.7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разработана в соответствии с ФГОС ВО:</w:t>
            </w:r>
          </w:p>
        </w:tc>
        <w:tc>
          <w:tcPr>
            <w:tcW w:w="4962" w:type="dxa"/>
          </w:tcPr>
          <w:p/>
        </w:tc>
      </w:tr>
      <w:tr>
        <w:trPr>
          <w:trHeight w:hRule="exact" w:val="478.0443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Федеральный государственный образовательный стандарт высшего образования - магистратура по направлению подготовки 44.04.01 Педагогическое образование (приказ Минобрнауки России от 22.02.2018 г. № 126)</w:t>
            </w:r>
          </w:p>
        </w:tc>
      </w:tr>
      <w:tr>
        <w:trPr>
          <w:trHeight w:hRule="exact" w:val="277.8299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301"/>
        </w:trPr>
        <w:tc>
          <w:tcPr>
            <w:tcW w:w="5826.7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составлена на основании учебного плана:</w:t>
            </w:r>
          </w:p>
        </w:tc>
        <w:tc>
          <w:tcPr>
            <w:tcW w:w="4962" w:type="dxa"/>
          </w:tcPr>
          <w:p/>
        </w:tc>
      </w:tr>
      <w:tr>
        <w:trPr>
          <w:trHeight w:hRule="exact" w:val="917.5737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Направление подготовки 44.04.01 Педагогическое образование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Направленность (профиль) образовательной программы: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Технология цифровизации образовательной деятельности (с применением сетевой формы)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Выпускающая кафедра: Информатики и нформационных технологий в образовании</w:t>
            </w:r>
          </w:p>
        </w:tc>
      </w:tr>
      <w:tr>
        <w:trPr>
          <w:trHeight w:hRule="exact" w:val="972.4053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Рабочая программа одобрена на заседании кафедры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D8 Информатики и информационных технологий в образовании</w:t>
            </w:r>
          </w:p>
        </w:tc>
      </w:tr>
      <w:tr>
        <w:trPr>
          <w:trHeight w:hRule="exact" w:val="277.8304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697.80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Протокол от __ __________ 2024 г. № __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Зав. кафедрой Д.п.н., профессор Пак Николай Инсебович</w:t>
            </w:r>
          </w:p>
        </w:tc>
      </w:tr>
      <w:tr>
        <w:trPr>
          <w:trHeight w:hRule="exact" w:val="277.8299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295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Председатель НМСС(С)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        __ __________ 2024 г. № ______________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510"/>
        <w:gridCol w:w="1559"/>
        <w:gridCol w:w="7938"/>
      </w:tblGrid>
      <w:tr>
        <w:trPr>
          <w:trHeight w:hRule="exact" w:val="277.83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1. ЦЕЛИ ОСВОЕНИЯ ДИСЦИПЛИНЫ (МОДУЛЯ)</w:t>
            </w:r>
          </w:p>
        </w:tc>
      </w:tr>
      <w:tr>
        <w:trPr>
          <w:trHeight w:hRule="exact" w:val="1137.486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Сформировать систему компетенций будущего учителя информатики в области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проектирования и программирования робототехнических систем, подготовить педагога к работе на современных инновационных площадках, дать понимание взаимосвязи задач робототехники и задач искусственного интеллекта и машинного обучения. Раскрыть потенциал программирования и робототехники для формирования инженерного и проектного мышления.</w:t>
            </w:r>
          </w:p>
        </w:tc>
      </w:tr>
      <w:tr>
        <w:trPr>
          <w:trHeight w:hRule="exact" w:val="277.83"/>
        </w:trPr>
        <w:tc>
          <w:tcPr>
            <w:tcW w:w="766" w:type="dxa"/>
          </w:tcPr>
          <w:p/>
        </w:tc>
        <w:tc>
          <w:tcPr>
            <w:tcW w:w="511" w:type="dxa"/>
          </w:tcPr>
          <w:p/>
        </w:tc>
        <w:tc>
          <w:tcPr>
            <w:tcW w:w="1560" w:type="dxa"/>
          </w:tcPr>
          <w:p/>
        </w:tc>
        <w:tc>
          <w:tcPr>
            <w:tcW w:w="7939" w:type="dxa"/>
          </w:tcPr>
          <w:p/>
        </w:tc>
      </w:tr>
      <w:tr>
        <w:trPr>
          <w:trHeight w:hRule="exact" w:val="277.83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2. МЕСТО ДИСЦИПЛИНЫ (МОДУЛЯ) В СТРУКТУРЕ ОБРАЗОВАТЕЛЬНОЙ ПРОГРАММЫ</w:t>
            </w:r>
          </w:p>
        </w:tc>
      </w:tr>
      <w:tr>
        <w:trPr>
          <w:trHeight w:hRule="exact" w:val="277.8299"/>
        </w:trPr>
        <w:tc>
          <w:tcPr>
            <w:tcW w:w="2850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Цикл (раздел) ОП:</w:t>
            </w:r>
          </w:p>
        </w:tc>
        <w:tc>
          <w:tcPr>
            <w:tcW w:w="795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Б1.ОДП.03</w:t>
            </w:r>
          </w:p>
        </w:tc>
      </w:tr>
      <w:tr>
        <w:trPr>
          <w:trHeight w:hRule="exact" w:val="277.8299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2.1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Требования к предварительной подготовке обучающегося:</w:t>
            </w:r>
          </w:p>
        </w:tc>
      </w:tr>
      <w:tr>
        <w:trPr>
          <w:trHeight w:hRule="exact" w:val="279.594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2.1.1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Избранные главы информатики</w:t>
            </w:r>
          </w:p>
        </w:tc>
      </w:tr>
      <w:tr>
        <w:trPr>
          <w:trHeight w:hRule="exact" w:val="279.594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2.1.2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Искусственный интеллект в образовании</w:t>
            </w:r>
          </w:p>
        </w:tc>
      </w:tr>
      <w:tr>
        <w:trPr>
          <w:trHeight w:hRule="exact" w:val="507.444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2.2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Дисциплины (модули) и практики, для которых освоение данной дисциплины (модуля) необходимо как предшествующее:</w:t>
            </w:r>
          </w:p>
        </w:tc>
      </w:tr>
      <w:tr>
        <w:trPr>
          <w:trHeight w:hRule="exact" w:val="279.59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2.2.1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Цифровая трансформация образования и проблемы обучения</w:t>
            </w:r>
          </w:p>
        </w:tc>
      </w:tr>
      <w:tr>
        <w:trPr>
          <w:trHeight w:hRule="exact" w:val="279.59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2.2.2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Технологическая (проектно-технологическая) практика</w:t>
            </w:r>
          </w:p>
        </w:tc>
      </w:tr>
      <w:tr>
        <w:trPr>
          <w:trHeight w:hRule="exact" w:val="279.5943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2.2.3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Технологическая (проектно-технологическая) практика</w:t>
            </w:r>
          </w:p>
        </w:tc>
      </w:tr>
      <w:tr>
        <w:trPr>
          <w:trHeight w:hRule="exact" w:val="138.9152"/>
        </w:trPr>
        <w:tc>
          <w:tcPr>
            <w:tcW w:w="766" w:type="dxa"/>
          </w:tcPr>
          <w:p/>
        </w:tc>
        <w:tc>
          <w:tcPr>
            <w:tcW w:w="511" w:type="dxa"/>
          </w:tcPr>
          <w:p/>
        </w:tc>
        <w:tc>
          <w:tcPr>
            <w:tcW w:w="1560" w:type="dxa"/>
          </w:tcPr>
          <w:p/>
        </w:tc>
        <w:tc>
          <w:tcPr>
            <w:tcW w:w="7939" w:type="dxa"/>
          </w:tcPr>
          <w:p/>
        </w:tc>
      </w:tr>
      <w:tr>
        <w:trPr>
          <w:trHeight w:hRule="exact" w:val="555.6598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3. КОМПЕТЕНЦИИ ОБУЧАЮЩЕГОСЯ, ФОРМИРУЕМЫЕ В РЕЗУЛЬТАТЕ ОСВОЕНИЯ ДИСЦИПЛИНЫ (МОДУЛЯ)</w:t>
            </w:r>
          </w:p>
        </w:tc>
      </w:tr>
      <w:tr>
        <w:trPr>
          <w:trHeight w:hRule="exact" w:val="536.8438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УК-1: Способен осуществлять критический анализ проблемных ситуаций на основе системного подхода, вырабатывать стратегию действий</w:t>
            </w:r>
          </w:p>
        </w:tc>
      </w:tr>
      <w:tr>
        <w:trPr>
          <w:trHeight w:hRule="exact" w:val="756.609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УК-1.1: Знает: методы критического анализа и оценки проблемных ситуаций на основе системного подхода; основные принципы критического анализа; способы поиска вариантов решения поставленной проблемной ситуации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все изученные методы критического анализа и оценки проблемных ситуаций на основе системного подхода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большинство изученных методов критического анализа и оценки проблемных ситуаций на основе системного подхода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минимально необходимое количество приемов критического анализа и оценки проблемных ситуаций на основе системного подхода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полностью самостоятельно применять основные принципы критического анализа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большей степени самостоятельно применять основные принципы критического анализа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применять основные принципы критического анализа при посторонней помощи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всеми изученными способами поиска вариантов решения поставленной проблемной ситуации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большинством изученных способов поиска вариантов решения поставленной проблемной ситуации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минимально необходимым количеством способов поиска вариантов решения поставленной проблемной ситуации</w:t>
            </w:r>
          </w:p>
        </w:tc>
      </w:tr>
      <w:tr>
        <w:trPr>
          <w:trHeight w:hRule="exact" w:val="976.3737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УК-1.2: Умеет: анализировать проблемную ситуацию как систему, выявляя ее составляющие и связи между ними; осуществлять поиск вариантов решения поставленной проблемной ситуации; определять стратегию достижения поставленной цели как последовательности шагов, двидя результат каждого из них и оценивая их влияние на внешнее окружение планируемой деятельности и на взаимоотношения участников этой деятельности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все особенности анализа проблемной ситуации как системы, выявляя ее составляющие и связи между ними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большинство особенностей анализа проблемной ситуации как системы, выявляя ее составляющие и связи между ними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минимально необходимое количество особенностей анализа проблемной ситуации как системы, выявляя ее составляющие и связи между ними</w:t>
            </w:r>
          </w:p>
        </w:tc>
      </w:tr>
      <w:tr>
        <w:trPr>
          <w:trHeight w:hRule="exact" w:val="277.8295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полностью самостоятельно осуществлять поиск вариантов решения поставленной проблемной ситуации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большей степени самостоятельно осуществлять поиск вариантов решения поставленной проблемной ситуации</w:t>
            </w:r>
          </w:p>
        </w:tc>
      </w:tr>
      <w:tr>
        <w:trPr>
          <w:trHeight w:hRule="exact" w:val="478.043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осуществлять поиск вариантов решения поставленной проблемной ситуации с использованием посторонней помощи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620.634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всеми навыками определения стратегии достижения поставленной цели как последовательности шагов, предвидя результат каждого из них и оценивая их влияние на внешнее окружение планируемой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276"/>
        <w:gridCol w:w="9497"/>
      </w:tblGrid>
      <w:tr>
        <w:trPr>
          <w:trHeight w:hRule="exact" w:val="250.194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деятельности и на взаимоотношения участников этой деятельности</w:t>
            </w:r>
          </w:p>
        </w:tc>
      </w:tr>
      <w:tr>
        <w:trPr>
          <w:trHeight w:hRule="exact" w:val="697.8091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большинством навыков определения стратегии достижения поставленной цели как последовательности шагов, предвидя результат каждого из них и оценивая их влияние на внешнее окружение планируемой деятельности и на взаимоотношения участников этой деятельности</w:t>
            </w:r>
          </w:p>
        </w:tc>
      </w:tr>
      <w:tr>
        <w:trPr>
          <w:trHeight w:hRule="exact" w:val="697.8089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минимально необходимым количеством навыков определения стратегии достижения поставленной цели как последовательности шагов, предвидя результат каждого из них и оценивая их влияние на внешнее окружение планируемой деятельности и на взаимоотношения участников этой деятельности</w:t>
            </w:r>
          </w:p>
        </w:tc>
      </w:tr>
      <w:tr>
        <w:trPr>
          <w:trHeight w:hRule="exact" w:val="536.8439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УК-1.3: Владеет навыками критического анализа проблемных ситуаций на основе системного подхода и определения стратегии действий для достижения поставленной цели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478.0443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все изученные способы критического анализа проблемных ситуаций на основе системного подхода и определения стратегии действий для достижения поставленной цели</w:t>
            </w:r>
          </w:p>
        </w:tc>
      </w:tr>
      <w:tr>
        <w:trPr>
          <w:trHeight w:hRule="exact" w:val="478.0438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большинство изученных способов критического анализа проблемных ситуаций на основе системного подхода и определения стратегии действий для достижения поставленной цели</w:t>
            </w:r>
          </w:p>
        </w:tc>
      </w:tr>
      <w:tr>
        <w:trPr>
          <w:trHeight w:hRule="exact" w:val="478.0441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минимально необходимое количество способов критического анализа проблемных ситуаций на основе системного подхода и определения стратегии действий для достижения поставленной цели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478.0438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полностью самостоятельно проводить критический анализ проблемных ситуаций на основе системного подхода и определять стратегии действий для достижения поставленной цели</w:t>
            </w:r>
          </w:p>
        </w:tc>
      </w:tr>
      <w:tr>
        <w:trPr>
          <w:trHeight w:hRule="exact" w:val="478.0438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большей степени самостоятельно проводить критический анализ проблемных ситуаций на основе системного подхода и определять стратегии действий для достижения поставленной цели</w:t>
            </w:r>
          </w:p>
        </w:tc>
      </w:tr>
      <w:tr>
        <w:trPr>
          <w:trHeight w:hRule="exact" w:val="478.0443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меньшей степени самостоятельно проводить критический анализ проблемных ситуаций на основе системного подхода и определять стратегии действий для достижения поставленной цели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478.0438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всеми навыками критического анализа проблемных ситуаций на основе системного подхода и определения стратегии действий для достижения поставленной цели</w:t>
            </w:r>
          </w:p>
        </w:tc>
      </w:tr>
      <w:tr>
        <w:trPr>
          <w:trHeight w:hRule="exact" w:val="478.0443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большинством навыков критического анализа проблемных ситуаций на основе системного подхода и определения стратегии действий для достижения поставленной цели</w:t>
            </w:r>
          </w:p>
        </w:tc>
      </w:tr>
      <w:tr>
        <w:trPr>
          <w:trHeight w:hRule="exact" w:val="478.0438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достаточным количеством навыков критического анализа проблемных ситуаций на основе системного подхода и определения стратегии действий для достижения поставленной цели</w:t>
            </w:r>
          </w:p>
        </w:tc>
      </w:tr>
      <w:tr>
        <w:trPr>
          <w:trHeight w:hRule="exact" w:val="308.994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УК-2: Способен управлять проектом на всех этапах его жизненного цикла</w:t>
            </w:r>
          </w:p>
        </w:tc>
      </w:tr>
      <w:tr>
        <w:trPr>
          <w:trHeight w:hRule="exact" w:val="756.6086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УК-2.1: Знает: принципы, методы и требования, предъявляемые к проектной работе; методы представления и описания результатов проектной деятельности; методы, критерии и параметры оценки результатов выполнения проекта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478.0443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Обладает твердым и полным знанием материала, владеет дополнительной информацией. Дает полный, развернутый ответ.</w:t>
            </w:r>
          </w:p>
        </w:tc>
      </w:tr>
      <w:tr>
        <w:trPr>
          <w:trHeight w:hRule="exact" w:val="277.8304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Допускает неточности в формулировках. Знает только основной материал.</w:t>
            </w:r>
          </w:p>
        </w:tc>
      </w:tr>
      <w:tr>
        <w:trPr>
          <w:trHeight w:hRule="exact" w:val="478.0434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 знает значительной части материала. Отвечает на вопрос частично. Не отвечает на поставленные вопросы.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478.0443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описать содержание основных этапов хода проекта с использованием различных моделей проектирования и проиллюстрировать этапы реализации проекта на произвольном примере</w:t>
            </w:r>
          </w:p>
        </w:tc>
      </w:tr>
      <w:tr>
        <w:trPr>
          <w:trHeight w:hRule="exact" w:val="478.0434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описать содержание основных этапов хода проекта и проиллюстрировать этапы реализации проекта на конкретном примере</w:t>
            </w:r>
          </w:p>
        </w:tc>
      </w:tr>
      <w:tr>
        <w:trPr>
          <w:trHeight w:hRule="exact" w:val="277.8304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описать содержание основных этапов хода проекта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277.8295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различными приемами выстраивания логики проекта</w:t>
            </w:r>
          </w:p>
        </w:tc>
      </w:tr>
      <w:tr>
        <w:trPr>
          <w:trHeight w:hRule="exact" w:val="277.8304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основными приемами выстраивания логики проекта</w:t>
            </w:r>
          </w:p>
        </w:tc>
      </w:tr>
      <w:tr>
        <w:trPr>
          <w:trHeight w:hRule="exact" w:val="277.8295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некоторыми приемами выстраивания логики проекта</w:t>
            </w:r>
          </w:p>
        </w:tc>
      </w:tr>
      <w:tr>
        <w:trPr>
          <w:trHeight w:hRule="exact" w:val="976.3737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УК-2.2: Умеет: формировать план-график реализации проекта в целом и план контроля его выполнения; организовывать и координировать работу участников проекта, обеспечивать работу команды необходимыми ресурсами; представлять публично результаты проекта (или тдельных его этапов) в форме отчетов, статей, выступлений на научнопрактических конференциях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478.0443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различные формы представления план-график реализации проекта в целом и планов контроля его выполнения</w:t>
            </w:r>
          </w:p>
        </w:tc>
      </w:tr>
      <w:tr>
        <w:trPr>
          <w:trHeight w:hRule="exact" w:val="277.8295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типовые формы представления план-график реализации проекта в целом и планов контроля его выполнения</w:t>
            </w:r>
          </w:p>
        </w:tc>
      </w:tr>
      <w:tr>
        <w:trPr>
          <w:trHeight w:hRule="exact" w:val="478.0443"/>
        </w:trPr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некоторые формы представления план-график реализации проекта в целом и планов контроля его выполнения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284"/>
        <w:gridCol w:w="3119"/>
        <w:gridCol w:w="992"/>
        <w:gridCol w:w="709"/>
        <w:gridCol w:w="1134"/>
        <w:gridCol w:w="992"/>
        <w:gridCol w:w="709"/>
        <w:gridCol w:w="851"/>
        <w:gridCol w:w="992"/>
      </w:tblGrid>
      <w:tr>
        <w:trPr>
          <w:trHeight w:hRule="exact" w:val="478.04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самостоятельно организовывать и координировать работу участников проекта, обеспечивать работу команды необходимыми ресурсами</w:t>
            </w:r>
          </w:p>
        </w:tc>
      </w:tr>
      <w:tr>
        <w:trPr>
          <w:trHeight w:hRule="exact" w:val="478.04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организовывать и координировать работу участников проекта, обеспечивать работу команды необходимыми ресурсами</w:t>
            </w:r>
          </w:p>
        </w:tc>
      </w:tr>
      <w:tr>
        <w:trPr>
          <w:trHeight w:hRule="exact" w:val="478.043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организовывать и координировать работу участников проекта, обеспечивать работу команды необходимыми ресурсами по заранее обозначенному плану</w:t>
            </w:r>
          </w:p>
        </w:tc>
      </w:tr>
      <w:tr>
        <w:trPr>
          <w:trHeight w:hRule="exact" w:val="277.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478.043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навыками подготовки различных презентационных материалов и публичного представления результатов проекта на конференциях различного уровня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навыками подготовки презентационных материалов и публичного представления результатов проекта</w:t>
            </w:r>
          </w:p>
        </w:tc>
      </w:tr>
      <w:tr>
        <w:trPr>
          <w:trHeight w:hRule="exact" w:val="277.8301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основными навыками публичного представления результатов проекта в форме отчетов, статей, выступлений</w:t>
            </w:r>
          </w:p>
        </w:tc>
      </w:tr>
      <w:tr>
        <w:trPr>
          <w:trHeight w:hRule="exact" w:val="536.8441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УК-2.3: Владеет навыками осуществления деятельности по управлению проектом на всех этапах его жизненного цикла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277.8301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различные принципы выстраивания логики проекта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основные принципы выстраивания логики проекта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некоторые принципы выстраивания логики проекта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478.0438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самостоятельно планировать и осуществлять деятельность по управлению проектом на всех этапах его жизненного цикла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планировать и осуществлять деятельность по управлению проектом на всех этапах его жизненного цикла на основе рекомендаций</w:t>
            </w:r>
          </w:p>
        </w:tc>
      </w:tr>
      <w:tr>
        <w:trPr>
          <w:trHeight w:hRule="exact" w:val="478.0438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планировать деятельность по управлению проектом на всех этапах его жизненного цикла с использованием опорных материалов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навыками осуществления деятельности по управлению проектом на всех этапах его жизненного цикла</w:t>
            </w:r>
          </w:p>
        </w:tc>
      </w:tr>
      <w:tr>
        <w:trPr>
          <w:trHeight w:hRule="exact" w:val="478.0438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основными навыками осуществления деятельности по управлению проектом на всех этапах его жизненного цикла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некоторыми навыками осуществления деятельности по управлению проектом на всех этапах его жизненного цикла</w:t>
            </w:r>
          </w:p>
        </w:tc>
      </w:tr>
      <w:tr>
        <w:trPr>
          <w:trHeight w:hRule="exact" w:val="277.8295"/>
        </w:trPr>
        <w:tc>
          <w:tcPr>
            <w:tcW w:w="993" w:type="dxa"/>
          </w:tcPr>
          <w:p/>
        </w:tc>
        <w:tc>
          <w:tcPr>
            <w:tcW w:w="285" w:type="dxa"/>
          </w:tcPr>
          <w:p/>
        </w:tc>
        <w:tc>
          <w:tcPr>
            <w:tcW w:w="3120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1135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852" w:type="dxa"/>
          </w:tcPr>
          <w:p/>
        </w:tc>
        <w:tc>
          <w:tcPr>
            <w:tcW w:w="993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4. СТРУКТУРА И СОДЕРЖАНИЕ ДИСЦИПЛИНЫ (МОДУЛЯ)</w:t>
            </w:r>
          </w:p>
        </w:tc>
      </w:tr>
      <w:tr>
        <w:trPr>
          <w:trHeight w:hRule="exact" w:val="416.744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Код занятия</w:t>
            </w:r>
          </w:p>
        </w:tc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Наименование разделов и тем /вид занятия/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Семестр / Курс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Часов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Компетен-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ции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Литерату ра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Инте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ракт.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Пр. подгот.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Примеча ние</w:t>
            </w:r>
          </w:p>
        </w:tc>
      </w:tr>
      <w:tr>
        <w:trPr>
          <w:trHeight w:hRule="exact" w:val="277.8304"/>
        </w:trPr>
        <w:tc>
          <w:tcPr>
            <w:tcW w:w="993" w:type="dxa"/>
          </w:tcPr>
          <w:p/>
        </w:tc>
        <w:tc>
          <w:tcPr>
            <w:tcW w:w="285" w:type="dxa"/>
          </w:tcPr>
          <w:p/>
        </w:tc>
        <w:tc>
          <w:tcPr>
            <w:tcW w:w="3120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1135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852" w:type="dxa"/>
          </w:tcPr>
          <w:p/>
        </w:tc>
        <w:tc>
          <w:tcPr>
            <w:tcW w:w="993" w:type="dxa"/>
          </w:tcPr>
          <w:p/>
        </w:tc>
      </w:tr>
      <w:tr>
        <w:trPr>
          <w:trHeight w:hRule="exact" w:val="478.044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Раздел 1. Основы робототехники (1 семестр)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4213.75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1.1</w:t>
            </w:r>
          </w:p>
        </w:tc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Лекция: робототехника в современной экономике. Физические основы робототехники. Проектирование и управление роботом. Инженерное мышление. Федеральные инновационные площадки, оборудование и инфраструктура.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Формируе т общую базу понятий и примеров для магистров с первонача льно разным уровнем владения материало м. Намечает будущие проекты.</w:t>
            </w:r>
          </w:p>
        </w:tc>
      </w:tr>
      <w:tr>
        <w:trPr>
          <w:trHeight w:hRule="exact" w:val="1137.33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1.2</w:t>
            </w:r>
          </w:p>
        </w:tc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Платформа Ардуино: доступная периферия и элементная база. Физические принципы работы платформы. Эмуляторы Ардуино.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402"/>
        <w:gridCol w:w="992"/>
        <w:gridCol w:w="709"/>
        <w:gridCol w:w="1134"/>
        <w:gridCol w:w="992"/>
        <w:gridCol w:w="709"/>
        <w:gridCol w:w="851"/>
        <w:gridCol w:w="992"/>
      </w:tblGrid>
      <w:tr>
        <w:trPr>
          <w:trHeight w:hRule="exact" w:val="917.57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1.3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Основы схемотехники. Светодиоды и резисторы. Подключение светодиода.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1357.10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1.4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Основы программирования на Си++ в среде Arduino IDE. Линейные программы. Ввод-вывод. Переменные: типы, имена, значения, допустимые операции. Оператор присваивания.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917.574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1.5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Условный оператор. Подключение кнопки. Расчёт электрических цепей.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917.574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1.6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Разбор проекта. Функции как инструмент управления структурой программы. Функции для работы со временем и звуком.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277.829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1.7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 работа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478.044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Раздел 2. Программирование (2 семестр)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917.573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Язык Питон, среды разработки. Обзор основных возможностей структурной технологии программирования. 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917.574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Линейные задачи на целые числа. Остаток как кусочно-линейная функция. Задачи на распределения. ACMP.ru.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1137.33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2.3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Задачи на циклы. Генерация и фильтрация последовательностей. Поиск перебором. Алгоритмы грубой силы. Школьные олимпиадные задачи.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1357.10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2.4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Стандартная библиотека. Основные протоколы и форматы файлов. Сторонние библиотеки - скачка и установка. Виртуальное окружение. Линейная алгебра и Питон. Numpy.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917.573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2.5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Символьная математика. Визуализация математической информации. Sympy. Matplotlib.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917.573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2.6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 работа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89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УК-1.1 УК- 1.2 УК-1.3 УК-2.1 УК- 2.2 УК-2.3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277.830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2.7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/КРЭ/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277.8304"/>
        </w:trPr>
        <w:tc>
          <w:tcPr>
            <w:tcW w:w="993" w:type="dxa"/>
          </w:tcPr>
          <w:p/>
        </w:tc>
        <w:tc>
          <w:tcPr>
            <w:tcW w:w="3403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1135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852" w:type="dxa"/>
          </w:tcPr>
          <w:p/>
        </w:tc>
        <w:tc>
          <w:tcPr>
            <w:tcW w:w="993" w:type="dxa"/>
          </w:tcPr>
          <w:p/>
        </w:tc>
      </w:tr>
      <w:tr>
        <w:trPr>
          <w:trHeight w:hRule="exact" w:val="478.0443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 ОЦЕНОЧНЫЕ МАТЕРИАЛЫ (ОЦЕНОЧНЫЕ СРЕДСТВА)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для текущего контроля успеваемости, промежуточной аттестации</w:t>
            </w:r>
          </w:p>
        </w:tc>
      </w:tr>
      <w:tr>
        <w:trPr>
          <w:trHeight w:hRule="exact" w:val="277.8295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5.1. Контрольные вопросы и задания</w:t>
            </w:r>
          </w:p>
        </w:tc>
      </w:tr>
      <w:tr>
        <w:trPr>
          <w:trHeight w:hRule="exact" w:val="3049.809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экзаменационного тестирвания (2 семестр)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1) Какой из циклов оптимальней использовать для повторения оператора(ов), если известно количество шагов цикла?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a) Цикл "while".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b) Цикл "repeat Until".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c) Цикл "for".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2) Для того чтобы вывести символ новой строки, надо: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a) Закончить оператор точкой с запятой.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b) Воспользоваться специальным макросом endl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c) При выводе строки символов перевод строки добавляется автоматически.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3) Компилятор языка Си++: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a) Переводит текст программы в машинные инструкции.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b) Выполняет программу.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c) Форматирует текст программы так, чтобы его было удобно читать.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7729.701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4) Комментарий в программе на Си++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a) Содержит указания компилятору по настройке программы.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b) Содержит пояснения к тексту и не оказывает влияния на выполнение программы.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c) Должен содержать допустимые аргументы программы.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5) Укажите пункты, в которых происходит объявление констант и переменных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a) float dD;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b) float sd2 = 3.2;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c) bType = 3;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d) int k; k = 89;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6) Укажите, в каких выражениях используются ключевые слова?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a) sdf = 2; int r = 24;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b) TStringList *S = new TstringList;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c) x = 3; x = x + 4;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d) void function()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7) Если после выражения стоит точка с запятой, то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a) Это оператор-выражение, действие которого заключается в вычислении выражения.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b) Выражение вычисляется, а его значение запоминается в специальной переменной, которую можно использовать в следующем операторе.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c) Выражение вычисляется только если первой стоит операция присваивания.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8) Каково будет значение переменной k после выполнения оператора k = ++ k; если до его выполнения k равнялось 6?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a) 6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b) 7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c) 8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9) Если int i=3, какой будет результат вычисления: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if (i == 4) cout &lt;&lt; "aaa";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else if (i == 3) cout &lt;&lt; "bbb";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else if (i != 3) cout &lt;&lt; "ccc";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a) aaa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b) bbb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c) ccc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d) aaaccc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e) bbbccc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f) ошибка компиляции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10) Даны две дроби A/B и C/D (А, В, С, D — натуральные числа). Составить программу для деления дроби на дробь. Результат должен быть несокра­ти­мой дробью. Какую часть в предложенной задаче вы можете выделить как подпрограмму?</w:t>
            </w:r>
          </w:p>
        </w:tc>
      </w:tr>
      <w:tr>
        <w:trPr>
          <w:trHeight w:hRule="exact" w:val="277.830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5.2. Темы письменных работ</w:t>
            </w:r>
          </w:p>
        </w:tc>
      </w:tr>
      <w:tr>
        <w:trPr>
          <w:trHeight w:hRule="exact" w:val="277.830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277.8295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5.3. Оценочные материалы (оценочные средства)</w:t>
            </w:r>
          </w:p>
        </w:tc>
      </w:tr>
      <w:tr>
        <w:trPr>
          <w:trHeight w:hRule="exact" w:val="277.830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277.8295"/>
        </w:trPr>
        <w:tc>
          <w:tcPr>
            <w:tcW w:w="10774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 УЧЕБНО-МЕТОДИЧЕСКОЕ И ИНФОРМАЦИОННОЕ ОБЕСПЕЧЕНИЕ ДИСЦИПЛИНЫ (МОДУЛЯ)</w:t>
            </w:r>
          </w:p>
        </w:tc>
      </w:tr>
      <w:tr>
        <w:trPr>
          <w:trHeight w:hRule="exact" w:val="277.8295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6.1. Рекомендуемая литература</w:t>
            </w:r>
          </w:p>
        </w:tc>
      </w:tr>
      <w:tr>
        <w:trPr>
          <w:trHeight w:hRule="exact" w:val="277.830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6.3.1 Перечень программного обеспечения</w:t>
            </w:r>
          </w:p>
        </w:tc>
      </w:tr>
      <w:tr>
        <w:trPr>
          <w:trHeight w:hRule="exact" w:val="2236.017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 Microsoft® Windows® 8.1 Professional (OEM лицензия, контракт № 20А/2015 от 05.10.2015);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 Kaspersky Endpoint Security – Лиц сертификат  №1B08-190415-050007-883-951;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 7-Zip - (Свободная лицензия GPL);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4. Adobe Acrobat Reader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5. Google Chrome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6. Mozilla Firefox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7. LibreOffice – (Свободная лицензия GPL);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8. XnView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9. Java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10. VLC – (Свободная лицензия);</w:t>
            </w:r>
          </w:p>
        </w:tc>
      </w:tr>
      <w:tr>
        <w:trPr>
          <w:trHeight w:hRule="exact" w:val="277.830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6.3.2  Перечень профессиональных баз данных и информационных справочных систем</w:t>
            </w:r>
          </w:p>
        </w:tc>
      </w:tr>
      <w:tr>
        <w:trPr>
          <w:trHeight w:hRule="exact" w:val="2500.47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Elibrary.ru: электронная библиотечная система : база данных содержит сведения об отечественных книгах и периодических изданиях по науке, технологии, медицине и образованию. Адрес: http://elibrary.ru Режим доступа: Свободный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Электронно-библиотечная система «Университетская библиотека онлайн». Адрес: https://biblioclub.ru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Электронно-библиотечная система издательства «ЛАНЬ». Адрес: e.lanbook.com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Образовательная платформа «Юрайт». Адрес: https://urait.ru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 Антиплагиат: система обнаружения заимствований. Адрес: https://krasspu.antiplagiat.ru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Консультант Плюс /Электронный ресурс/:справочно – правововая  система. Адрес: Научная библиотека Режим доступа: Локальная  сеть вуза;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77.83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7. МАТЕРИАЛЬНО-ТЕХНИЧЕСКОЕ ОБЕСПЕЧЕНИЕ ДИСЦИПЛИНЫ (МОДУЛЯ)</w:t>
            </w:r>
          </w:p>
        </w:tc>
      </w:tr>
      <w:tr>
        <w:trPr>
          <w:trHeight w:hRule="exact" w:val="2500.47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Перечень учебных аудиторий и помещений закрепляется ежегодным приказом «О закреплении аудиторий и помещений в Федеральном государственном бюджетном образовательном учреждении высшего образования «Красноярский государственный педагогический университет им. В.П. Астафьева на текущий год» с обновлением перечня программного обеспечения и оборудования в соответствии с требованиями ФГОС ВО, в том числе: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успеваемости и промежуточной аттестации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 Помещения для самостоятельной работы обучающихся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 Помещения для хранения и профилактического обслуживания учебного оборудования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4. Перечень лабораторий.</w:t>
            </w:r>
          </w:p>
        </w:tc>
      </w:tr>
      <w:tr>
        <w:trPr>
          <w:trHeight w:hRule="exact" w:val="277.8297"/>
        </w:trPr>
        <w:tc>
          <w:tcPr>
            <w:tcW w:w="10774" w:type="dxa"/>
          </w:tcPr>
          <w:p/>
        </w:tc>
      </w:tr>
      <w:tr>
        <w:trPr>
          <w:trHeight w:hRule="exact" w:val="277.8299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8. МЕТОДИЧЕСКИЕ УКАЗАНИЯ ДЛЯ ОБУЧАЮЩИХСЯ ПО ОСВОЕНИЮ ДИСЦИПЛИНЫ (МОДУЛЯ)</w:t>
            </w:r>
          </w:p>
        </w:tc>
      </w:tr>
      <w:tr>
        <w:trPr>
          <w:trHeight w:hRule="exact" w:val="9267.908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Методические рекомендации по работе на лекциях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 время лекций по дисциплине студент должен уметь сконцентрировать внимание на рассматриваемых проблемах и включить в работу все виды памяти: словесную, образную и моторно-двигательную. В этом помогает конспектирование сути материала, излагаемого преподавателем (Во время конспектирования в работу включаются зрительная, аудиальная и моторно-двигательная память, позволяющие эффективно усвоить лекционный материал.) Главное, что конспектирование лекции – это не диктант. Для успешной работы студент только выделяет суть, и фиксирует её «своими словами» в объёме, достаточном для гарантированного воспроизведения. Это гораздо более эффективно, чем запись «под диктовку». В ходе возникновения трудностей следует относится к этому как к признаку правильного хода работы, чётко сформулировать непонимаемый фрагмент высказывания лектора и задать вопрос, стараясь не нарушать ритм и ход лекции. Часто это помогает всем студентам лучше осознать материал.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Программирование — практическая дисциплина, многие техники которой были созданы для решения целых классов трудностей, стоящих перед чело­веком. Осознание этих трудностей и спектра возможностей их преодоления намного полезнее заучивания конкретных решений — помните это.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Методические рекомендации по работе на практических занятиях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Перед практическим занятием студенту необходимо освежить в памяти теоретический материал по теме практического занятия. Для этого следует обратиться к соответствующим главам учебника, конспекту лекций.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Каждое занятие начинается с повторения необходимых элементов теоретического материала по соответствующей теме. Для самопроверки, студенты должны уметь чётко ответить на вопросы, поставленные преподавателем. По характеру ответов преподаватель делает вывод о том, насколько тот или иной студент готов к выполнению упражнений.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После такой проверки студентам предлагается выполнить соответствующие задания и варианты задачи. Порядок решения задач студентами может быть различным. Преподаватель может установить такой порядок, согласно которому каждый студент в отдельности самостоятельно решает задачу без обращения к каким – либо материалам или к преподавателю. Может быть использован и такой порядок решения задачи, когда предусматривается самостоятельное решение каждым студентом поставленной задачи с использованием конспектов, учебников и других методических и справочных материалов. При этом преподаватель обходит студентов, наблюдая за ходом решения и давая индивидуальные указания.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 истечении времени, необходимого для решения задачи, один из студентов может быть вызван для её выполнения на доске.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конце занятия преподаватель подводит его итоги, даёт оценку активности студентов и уровня их знаний, вносит баллы в рейтинговую таблицу.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Каждому студенту необходимо основательно закреплять полученные знания и вырабатывать навыки самостоятельной научной работы. С этой целью в течение семестра студент должен выполнить домашние работы. Часть лабораторных допускается выполнять дома, особенно при опережении графика сдачи, поскольку в процессе сдачи авторство и глубина понимания материала крайне легко проверяется индивидуальными вопросами, к чему тоже следует быть готовым.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Методические рекомендации по самостоятельной работе студента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Для эффективного достижения указанных во введении рабочей программы целей обучения по дисциплине процесс изучения материала курса предполагает достаточно интенсивную работу не только на лекциях и семинарах, но дома в ходе самостоятельной работы.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Внеаудиторная самостоятельная работа включает выполнение заданий по каждому разделу курса, многие из которых доступны в сети Интернет и снабжены системами автоматической проверки корректности.</w:t>
            </w:r>
          </w:p>
        </w:tc>
      </w:tr>
    </w:tbl>
    <w:p/>
    <w:sectPr>
      <w:pgSz w:w="11907" w:h="16840"/>
      <w:pgMar w:top="567" w:right="567" w:bottom="5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2024-2025_44_04_01 Технологии цифровизации образовательной деятельности (с применением сетевой формы)( з_ 2024)_plx_Программирование</dc:title>
  <dc:creator>FastReport.NET</dc:creator>
</cp:coreProperties>
</file>