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66E69" w14:textId="77777777" w:rsidR="000C2C06" w:rsidRPr="000C2C06" w:rsidRDefault="000C2C06" w:rsidP="000C2C06">
      <w:pPr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 w:rsidRPr="000C2C06">
        <w:rPr>
          <w:rFonts w:eastAsiaTheme="minorHAnsi" w:cs="Times New Roman"/>
          <w:b/>
          <w:bCs/>
          <w:kern w:val="0"/>
          <w:sz w:val="40"/>
          <w:szCs w:val="40"/>
          <w:lang w:eastAsia="en-US" w:bidi="ar-SA"/>
        </w:rPr>
        <w:t xml:space="preserve">Отзыв </w:t>
      </w:r>
    </w:p>
    <w:p w14:paraId="06366ACB" w14:textId="77777777" w:rsidR="000C2C06" w:rsidRPr="000C2C06" w:rsidRDefault="000C2C06" w:rsidP="000C2C06">
      <w:pPr>
        <w:jc w:val="center"/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</w:pPr>
      <w:r w:rsidRPr="000C2C06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научного руководителя</w:t>
      </w:r>
    </w:p>
    <w:p w14:paraId="70ABAD82" w14:textId="77777777" w:rsidR="000C2C06" w:rsidRPr="000C2C06" w:rsidRDefault="000C2C06" w:rsidP="000C2C06">
      <w:pPr>
        <w:jc w:val="center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b/>
          <w:bCs/>
          <w:kern w:val="0"/>
          <w:sz w:val="28"/>
          <w:szCs w:val="28"/>
          <w:lang w:eastAsia="en-US" w:bidi="ar-SA"/>
        </w:rPr>
        <w:t>на магистерскую диссертацию</w:t>
      </w:r>
    </w:p>
    <w:p w14:paraId="052C442C" w14:textId="77777777" w:rsidR="000C2C06" w:rsidRPr="000C2C06" w:rsidRDefault="000C2C06" w:rsidP="000C2C06">
      <w:pPr>
        <w:spacing w:line="100" w:lineRule="atLeast"/>
        <w:jc w:val="center"/>
        <w:rPr>
          <w:rFonts w:eastAsiaTheme="minorHAnsi" w:cs="Times New Roman"/>
          <w:i/>
          <w:kern w:val="0"/>
          <w:sz w:val="28"/>
          <w:szCs w:val="28"/>
          <w:lang w:eastAsia="en-US" w:bidi="ar-SA"/>
        </w:rPr>
      </w:pPr>
      <w:r w:rsidRPr="000C2C06">
        <w:rPr>
          <w:rFonts w:eastAsiaTheme="minorHAnsi" w:cs="Times New Roman"/>
          <w:b/>
          <w:kern w:val="0"/>
          <w:sz w:val="36"/>
          <w:szCs w:val="36"/>
          <w:lang w:eastAsia="en-US" w:bidi="ar-SA"/>
        </w:rPr>
        <w:t>Иванюшиной Дарьи Андреевны</w:t>
      </w:r>
    </w:p>
    <w:p w14:paraId="0E400DDA" w14:textId="77777777" w:rsidR="000C2C06" w:rsidRPr="000C2C06" w:rsidRDefault="000C2C06" w:rsidP="000C2C06">
      <w:pPr>
        <w:jc w:val="center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i/>
          <w:color w:val="00000A"/>
          <w:kern w:val="0"/>
          <w:sz w:val="28"/>
          <w:szCs w:val="28"/>
          <w:lang w:eastAsia="en-US" w:bidi="ar-SA"/>
        </w:rPr>
        <w:t>Направление 44.04.01. Педагогическое образование</w:t>
      </w:r>
    </w:p>
    <w:p w14:paraId="4A600AB5" w14:textId="77777777" w:rsidR="000C2C06" w:rsidRPr="000C2C06" w:rsidRDefault="000C2C06" w:rsidP="000C2C06">
      <w:pPr>
        <w:jc w:val="center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color w:val="00000A"/>
          <w:kern w:val="0"/>
          <w:sz w:val="28"/>
          <w:szCs w:val="28"/>
          <w:lang w:eastAsia="en-US" w:bidi="ar-SA"/>
        </w:rPr>
        <w:t xml:space="preserve">Магистерская программа </w:t>
      </w:r>
    </w:p>
    <w:p w14:paraId="6187A987" w14:textId="77777777" w:rsidR="000C2C06" w:rsidRPr="000C2C06" w:rsidRDefault="000C2C06" w:rsidP="000C2C06">
      <w:pPr>
        <w:spacing w:line="276" w:lineRule="auto"/>
        <w:ind w:firstLine="709"/>
        <w:jc w:val="center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color w:val="00000A"/>
          <w:kern w:val="0"/>
          <w:sz w:val="28"/>
          <w:szCs w:val="28"/>
          <w:lang w:eastAsia="en-US" w:bidi="ar-SA"/>
        </w:rPr>
        <w:t>Инноватика в современном начальном образовании</w:t>
      </w:r>
      <w:bookmarkStart w:id="0" w:name="_Hlk89618460"/>
      <w:bookmarkEnd w:id="0"/>
    </w:p>
    <w:p w14:paraId="731C4B48" w14:textId="77777777" w:rsidR="000C2C06" w:rsidRDefault="000C2C06" w:rsidP="000C2C06">
      <w:pPr>
        <w:shd w:val="clear" w:color="auto" w:fill="FFFFFF"/>
        <w:suppressAutoHyphens w:val="0"/>
        <w:spacing w:after="360" w:line="276" w:lineRule="auto"/>
        <w:jc w:val="center"/>
        <w:rPr>
          <w:rFonts w:eastAsia="Times New Roman" w:cs="Times New Roman"/>
          <w:b/>
          <w:bCs/>
          <w:color w:val="00000A"/>
          <w:kern w:val="0"/>
          <w:sz w:val="32"/>
          <w:szCs w:val="32"/>
          <w:lang w:eastAsia="en-US" w:bidi="ar-SA"/>
        </w:rPr>
      </w:pPr>
      <w:bookmarkStart w:id="1" w:name="_Hlk89611497"/>
      <w:r w:rsidRPr="000C2C06">
        <w:rPr>
          <w:rFonts w:eastAsia="Times New Roman" w:cs="Times New Roman"/>
          <w:b/>
          <w:bCs/>
          <w:color w:val="00000A"/>
          <w:kern w:val="0"/>
          <w:sz w:val="32"/>
          <w:szCs w:val="32"/>
          <w:lang w:eastAsia="en-US" w:bidi="ar-SA"/>
        </w:rPr>
        <w:t>«</w:t>
      </w:r>
      <w:r w:rsidRPr="000C2C0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РАЗВИТИЕ ГИГИЕНИЧЕСКИХ НАВЫКОВ У ОБУЧАЮЩИХСЯ </w:t>
      </w:r>
      <w:bookmarkStart w:id="2" w:name="_Hlk89619914"/>
      <w:r w:rsidRPr="000C2C0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С     ОГРАНИЧЕННЫМИ ВОЗМОЖНОСТЯМИ ЗДОРОВЬЯ </w:t>
      </w:r>
      <w:bookmarkEnd w:id="2"/>
      <w:r w:rsidRPr="000C2C06">
        <w:rPr>
          <w:rFonts w:eastAsia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              ПОСРЕДСТВОМ ИГРОВОЙ ВНЕУРОЧНОЙ ДЕЯТЕЛЬНОСТИ</w:t>
      </w:r>
      <w:r w:rsidRPr="000C2C06">
        <w:rPr>
          <w:rFonts w:eastAsia="Times New Roman" w:cs="Times New Roman"/>
          <w:b/>
          <w:bCs/>
          <w:color w:val="00000A"/>
          <w:kern w:val="0"/>
          <w:sz w:val="32"/>
          <w:szCs w:val="32"/>
          <w:lang w:eastAsia="en-US" w:bidi="ar-SA"/>
        </w:rPr>
        <w:t>»</w:t>
      </w:r>
      <w:bookmarkEnd w:id="1"/>
      <w:r w:rsidRPr="000C2C06">
        <w:rPr>
          <w:rFonts w:eastAsia="Times New Roman" w:cs="Times New Roman"/>
          <w:b/>
          <w:bCs/>
          <w:color w:val="00000A"/>
          <w:kern w:val="0"/>
          <w:sz w:val="32"/>
          <w:szCs w:val="32"/>
          <w:lang w:eastAsia="en-US" w:bidi="ar-SA"/>
        </w:rPr>
        <w:t xml:space="preserve">    </w:t>
      </w:r>
    </w:p>
    <w:p w14:paraId="67882B01" w14:textId="4DE584F9" w:rsidR="00942C56" w:rsidRDefault="000C2C06" w:rsidP="000C2C06">
      <w:pPr>
        <w:shd w:val="clear" w:color="auto" w:fill="FFFFFF"/>
        <w:suppressAutoHyphens w:val="0"/>
        <w:spacing w:after="360" w:line="276" w:lineRule="auto"/>
        <w:jc w:val="center"/>
      </w:pPr>
      <w:r w:rsidRPr="000C2C06">
        <w:rPr>
          <w:rFonts w:eastAsia="Times New Roman" w:cs="Times New Roman"/>
          <w:kern w:val="0"/>
          <w:sz w:val="26"/>
          <w:szCs w:val="26"/>
          <w:lang w:eastAsia="en-US" w:bidi="ar-SA"/>
        </w:rPr>
        <w:t>В процессе выполнения магистерской диссертации студент освоил компетенции: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1141"/>
        <w:gridCol w:w="1141"/>
        <w:gridCol w:w="1141"/>
      </w:tblGrid>
      <w:tr w:rsidR="00942C56" w14:paraId="1D800930" w14:textId="77777777" w:rsidTr="00942C56">
        <w:trPr>
          <w:trHeight w:val="9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6AE1C" w14:textId="77777777" w:rsidR="00942C56" w:rsidRDefault="00942C56">
            <w:pPr>
              <w:pStyle w:val="TableParagraph"/>
              <w:spacing w:before="207" w:line="228" w:lineRule="auto"/>
              <w:ind w:left="2788" w:right="2787"/>
              <w:jc w:val="center"/>
            </w:pPr>
            <w:proofErr w:type="spellStart"/>
            <w:r>
              <w:rPr>
                <w:spacing w:val="-1"/>
              </w:rPr>
              <w:t>Формируемые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265D4" w14:textId="77777777" w:rsidR="00942C56" w:rsidRPr="00942C56" w:rsidRDefault="00942C56">
            <w:pPr>
              <w:pStyle w:val="TableParagraph"/>
              <w:spacing w:line="165" w:lineRule="exact"/>
              <w:ind w:left="86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Продвину-т</w:t>
            </w:r>
          </w:p>
          <w:p w14:paraId="67F94104" w14:textId="77777777" w:rsidR="00942C56" w:rsidRPr="00942C56" w:rsidRDefault="00942C56">
            <w:pPr>
              <w:pStyle w:val="TableParagraph"/>
              <w:spacing w:line="242" w:lineRule="auto"/>
              <w:ind w:left="115" w:right="121" w:firstLine="10"/>
              <w:jc w:val="center"/>
              <w:rPr>
                <w:sz w:val="16"/>
                <w:lang w:val="ru-RU"/>
              </w:rPr>
            </w:pPr>
            <w:proofErr w:type="spellStart"/>
            <w:r w:rsidRPr="00942C56">
              <w:rPr>
                <w:b/>
                <w:sz w:val="16"/>
                <w:lang w:val="ru-RU"/>
              </w:rPr>
              <w:t>ый</w:t>
            </w:r>
            <w:proofErr w:type="spellEnd"/>
            <w:r w:rsidRPr="00942C56">
              <w:rPr>
                <w:b/>
                <w:sz w:val="16"/>
                <w:lang w:val="ru-RU"/>
              </w:rPr>
              <w:t xml:space="preserve"> </w:t>
            </w: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60402FD6" w14:textId="77777777" w:rsid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компетенций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80879" w14:textId="77777777" w:rsidR="00942C56" w:rsidRPr="00942C56" w:rsidRDefault="00942C56">
            <w:pPr>
              <w:pStyle w:val="TableParagraph"/>
              <w:spacing w:line="165" w:lineRule="exact"/>
              <w:ind w:left="73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Базовый</w:t>
            </w:r>
          </w:p>
          <w:p w14:paraId="2CE9DABB" w14:textId="77777777" w:rsidR="00942C56" w:rsidRPr="00942C56" w:rsidRDefault="00942C56">
            <w:pPr>
              <w:pStyle w:val="TableParagraph"/>
              <w:spacing w:line="242" w:lineRule="auto"/>
              <w:ind w:left="115" w:right="121" w:hanging="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22790A6F" w14:textId="77777777" w:rsidR="00942C56" w:rsidRP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компетенций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1F747" w14:textId="77777777" w:rsidR="00942C56" w:rsidRPr="00942C56" w:rsidRDefault="00942C56">
            <w:pPr>
              <w:pStyle w:val="TableParagraph"/>
              <w:spacing w:line="165" w:lineRule="exact"/>
              <w:ind w:left="86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Пороговый</w:t>
            </w:r>
          </w:p>
          <w:p w14:paraId="32C8260D" w14:textId="77777777" w:rsidR="00942C56" w:rsidRPr="00942C56" w:rsidRDefault="00942C56">
            <w:pPr>
              <w:pStyle w:val="TableParagraph"/>
              <w:spacing w:line="242" w:lineRule="auto"/>
              <w:ind w:left="115" w:right="121" w:hanging="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43689099" w14:textId="77777777" w:rsidR="00942C56" w:rsidRP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компетенций</w:t>
            </w:r>
          </w:p>
        </w:tc>
      </w:tr>
      <w:tr w:rsidR="00942C56" w14:paraId="02127473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D347A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ОК-1 способность к абстрактному мышлению, анализу, синтезу, способностью</w:t>
            </w:r>
          </w:p>
          <w:p w14:paraId="4E031572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совершенствовать и развивать свой интеллектуальный и общекультурный уровень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A8A2F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409C3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74BC4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380D827" w14:textId="77777777" w:rsidTr="00942C56">
        <w:trPr>
          <w:trHeight w:val="40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0A15E1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ОК-2 готовность действовать в нестандартных ситуациях, нести социальную и</w:t>
            </w:r>
          </w:p>
          <w:p w14:paraId="32F611C3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этическую ответственность за принятые решения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43916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D344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B9C1C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383C72CD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14547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ОК-3 способность к самостоятельному освоению и использованию новых методов</w:t>
            </w:r>
          </w:p>
          <w:p w14:paraId="22FBB153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исследования, к освоению новых сфер профессиональной деятельности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E92A6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CA773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0A2A6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2A127231" w14:textId="77777777" w:rsidTr="00942C56">
        <w:trPr>
          <w:trHeight w:val="40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CFAAB" w14:textId="77777777" w:rsidR="00942C56" w:rsidRPr="00942C56" w:rsidRDefault="00942C56">
            <w:pPr>
              <w:pStyle w:val="TableParagraph"/>
              <w:spacing w:line="196" w:lineRule="exact"/>
              <w:ind w:left="115" w:right="11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ОК-4 – способность формировать ресурсно-информационные базы для осуществления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практической деятельности в различных сферах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91D94" w14:textId="77777777" w:rsidR="00942C56" w:rsidRPr="00942C56" w:rsidRDefault="00942C5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9E18" w14:textId="5C59159A" w:rsidR="00942C56" w:rsidRPr="00942C5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DDBB4" w14:textId="609E94B4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</w:p>
        </w:tc>
      </w:tr>
      <w:tr w:rsidR="00942C56" w14:paraId="2C5970E8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38790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ОК-5 –</w:t>
            </w:r>
            <w:r w:rsidRPr="00942C56">
              <w:rPr>
                <w:spacing w:val="1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способность самостоятельно приобретать и использовать, в том числе с</w:t>
            </w:r>
          </w:p>
          <w:p w14:paraId="226456E9" w14:textId="77777777" w:rsidR="00942C56" w:rsidRPr="00942C56" w:rsidRDefault="00942C56">
            <w:pPr>
              <w:pStyle w:val="TableParagraph"/>
              <w:spacing w:line="210" w:lineRule="atLeast"/>
              <w:ind w:left="115" w:right="21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помощью информационных технологий, новые знания и умения, непосредственно не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связанные со сферой профессиональной деятельности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6F9F0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6F76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3E4B2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1A9D926C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D51DD" w14:textId="77777777" w:rsidR="00942C56" w:rsidRPr="00942C56" w:rsidRDefault="00942C56">
            <w:pPr>
              <w:pStyle w:val="TableParagraph"/>
              <w:spacing w:before="4" w:line="223" w:lineRule="auto"/>
              <w:ind w:left="115" w:right="53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ОПК-1 – готовность осуществлять профессиональную коммуникацию в устной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письменной формах на русском и иностранном языках для решения задач</w:t>
            </w:r>
          </w:p>
          <w:p w14:paraId="774A8677" w14:textId="77777777" w:rsidR="00942C56" w:rsidRDefault="00942C56">
            <w:pPr>
              <w:pStyle w:val="TableParagraph"/>
              <w:spacing w:before="7" w:line="191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74C0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A46C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C7F54" w14:textId="77777777" w:rsidR="00942C56" w:rsidRDefault="00942C56">
            <w:pPr>
              <w:pStyle w:val="TableParagraph"/>
              <w:spacing w:line="206" w:lineRule="exact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942C56" w14:paraId="76A05BAD" w14:textId="77777777" w:rsidTr="00942C56">
        <w:trPr>
          <w:trHeight w:val="49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6ED63" w14:textId="77777777" w:rsidR="00942C56" w:rsidRPr="00942C56" w:rsidRDefault="00942C56">
            <w:pPr>
              <w:pStyle w:val="TableParagraph"/>
              <w:spacing w:before="24" w:line="242" w:lineRule="auto"/>
              <w:ind w:left="115" w:right="212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ОПК-2 – готовность использовать знание современных проблем науки и образования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при решении профессиональных задач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CDB2A0" w14:textId="60460DBB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7EC9" w14:textId="4D44B7A5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EDCFB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4D5682F3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9FB88" w14:textId="77777777" w:rsidR="00942C56" w:rsidRPr="00942C56" w:rsidRDefault="00942C56">
            <w:pPr>
              <w:pStyle w:val="TableParagraph"/>
              <w:spacing w:line="242" w:lineRule="auto"/>
              <w:ind w:left="115" w:right="292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ОПК-3 – готовность взаимодействовать с участниками образовательного процесса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социальными партнерами, руководить коллективом, толерантно воспринимая</w:t>
            </w:r>
          </w:p>
          <w:p w14:paraId="2B63314D" w14:textId="77777777" w:rsidR="00942C56" w:rsidRPr="00942C56" w:rsidRDefault="00942C56">
            <w:pPr>
              <w:pStyle w:val="TableParagraph"/>
              <w:spacing w:line="189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социальные, этноконфессиональные и культурные различия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726DA" w14:textId="7A89A223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29EF" w14:textId="4113F3DF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A8E1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1D79990E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A7B7F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ОПК-4 – способность осуществлять профессиональное и личностное</w:t>
            </w:r>
          </w:p>
          <w:p w14:paraId="60907B18" w14:textId="77777777" w:rsidR="00942C56" w:rsidRPr="00942C56" w:rsidRDefault="00942C56">
            <w:pPr>
              <w:pStyle w:val="TableParagraph"/>
              <w:spacing w:line="210" w:lineRule="atLeast"/>
              <w:ind w:left="115" w:right="95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самообразование, проектировать дальнейшие образовательные маршруты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профессиональную карьеру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F3E42" w14:textId="5BA35185" w:rsidR="00942C56" w:rsidRDefault="00942C56">
            <w:pPr>
              <w:pStyle w:val="TableParagraph"/>
              <w:spacing w:line="206" w:lineRule="exact"/>
              <w:ind w:right="49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2B17" w14:textId="2338F888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E54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456A8995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173C5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 – способность применять современные методики и технологии организации</w:t>
            </w:r>
          </w:p>
          <w:p w14:paraId="35F3238F" w14:textId="77777777" w:rsidR="00942C56" w:rsidRPr="00942C56" w:rsidRDefault="00942C56">
            <w:pPr>
              <w:pStyle w:val="TableParagraph"/>
              <w:spacing w:line="196" w:lineRule="exact"/>
              <w:ind w:left="115" w:right="18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образовательной деятельности, диагностики и оценивания качества образовательного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процесса по различным образовательным программам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7FA5E" w14:textId="55922D9A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CC4B0" w14:textId="32BE9CCD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53ED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1EF38D43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CF4D8" w14:textId="77777777" w:rsidR="00942C56" w:rsidRPr="00942C56" w:rsidRDefault="00942C56">
            <w:pPr>
              <w:pStyle w:val="TableParagraph"/>
              <w:spacing w:line="242" w:lineRule="auto"/>
              <w:ind w:left="115" w:right="1146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ПК-2 – способность формировать образовательную среду и использовать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профессиональные знания и умения в реализации задач инновационной</w:t>
            </w:r>
          </w:p>
          <w:p w14:paraId="0EB9C289" w14:textId="77777777" w:rsidR="00942C56" w:rsidRDefault="00942C56"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политики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8C0DD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B8F83" w14:textId="63EC5192" w:rsidR="00942C56" w:rsidRDefault="000C2C06">
            <w:pPr>
              <w:pStyle w:val="TableParagraph"/>
              <w:spacing w:line="221" w:lineRule="exact"/>
              <w:ind w:left="415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942C56"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7B65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55B147E5" w14:textId="77777777" w:rsidTr="00942C56">
        <w:trPr>
          <w:trHeight w:val="22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F0654" w14:textId="77777777" w:rsidR="00942C56" w:rsidRPr="00942C56" w:rsidRDefault="00942C56">
            <w:pPr>
              <w:pStyle w:val="TableParagraph"/>
              <w:spacing w:line="200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ПК-3 – способность руководить исследовательской работой обучающихся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286D4" w14:textId="77777777" w:rsidR="00942C56" w:rsidRPr="00942C56" w:rsidRDefault="00942C5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B4357" w14:textId="77777777" w:rsidR="00942C56" w:rsidRDefault="00942C56">
            <w:pPr>
              <w:pStyle w:val="TableParagraph"/>
              <w:spacing w:line="200" w:lineRule="exact"/>
              <w:ind w:left="46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33B27" w14:textId="77777777" w:rsidR="00942C56" w:rsidRDefault="00942C56">
            <w:pPr>
              <w:pStyle w:val="TableParagraph"/>
              <w:rPr>
                <w:sz w:val="14"/>
              </w:rPr>
            </w:pPr>
          </w:p>
        </w:tc>
      </w:tr>
      <w:tr w:rsidR="00942C56" w14:paraId="4AD8F76B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FF86E" w14:textId="77777777" w:rsidR="00942C56" w:rsidRPr="00942C56" w:rsidRDefault="00942C56">
            <w:pPr>
              <w:pStyle w:val="TableParagraph"/>
              <w:spacing w:line="242" w:lineRule="auto"/>
              <w:ind w:left="115" w:right="801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ПК-4 – готовность к разработке и реализации методик, технологий и приемов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обучения, к анализу результатов процесса их использования в организациях,</w:t>
            </w:r>
          </w:p>
          <w:p w14:paraId="1E8A5E71" w14:textId="77777777" w:rsidR="00942C56" w:rsidRDefault="00942C56"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осуществляющих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образовательную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деятельность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5DDA8" w14:textId="54AB44C4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503F" w14:textId="5B61DEC0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44F0A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6DFC1B6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893F9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ПК-5</w:t>
            </w:r>
            <w:r w:rsidRPr="00942C56">
              <w:rPr>
                <w:spacing w:val="30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–</w:t>
            </w:r>
            <w:r w:rsidRPr="00942C56">
              <w:rPr>
                <w:spacing w:val="30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анализировать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результаты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научных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исследований,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применять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их</w:t>
            </w:r>
          </w:p>
          <w:p w14:paraId="78717199" w14:textId="77777777" w:rsidR="00942C56" w:rsidRPr="00942C56" w:rsidRDefault="00942C56">
            <w:pPr>
              <w:pStyle w:val="TableParagraph"/>
              <w:spacing w:line="210" w:lineRule="atLeas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при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решении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конкретных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научно-исследовательских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задач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в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сфере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науки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образования, самостоятельно осуществлять научное исследование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FF8FD" w14:textId="4910EC2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D168" w14:textId="1730E013" w:rsidR="00942C56" w:rsidRPr="000C2C06" w:rsidRDefault="000C2C0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7845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416A3CC5" w14:textId="77777777" w:rsidTr="00942C56">
        <w:trPr>
          <w:trHeight w:val="23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74A5F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ПК-6</w:t>
            </w:r>
            <w:r w:rsidRPr="00942C56">
              <w:rPr>
                <w:spacing w:val="46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–   готовность   использовать   индивидуальные   креативные</w:t>
            </w:r>
            <w:r w:rsidRPr="00942C56">
              <w:rPr>
                <w:spacing w:val="7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способности</w:t>
            </w:r>
            <w:r w:rsidRPr="00942C56">
              <w:rPr>
                <w:spacing w:val="7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для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CDD86" w14:textId="0525C096" w:rsidR="00942C56" w:rsidRDefault="00942C56">
            <w:pPr>
              <w:pStyle w:val="TableParagraph"/>
              <w:spacing w:line="206" w:lineRule="exact"/>
              <w:ind w:right="490"/>
              <w:jc w:val="right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B54AA" w14:textId="03739B9E" w:rsidR="00942C56" w:rsidRPr="000C2C06" w:rsidRDefault="000C2C06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E8AD" w14:textId="77777777" w:rsidR="00942C56" w:rsidRDefault="00942C56">
            <w:pPr>
              <w:pStyle w:val="TableParagraph"/>
              <w:rPr>
                <w:sz w:val="16"/>
              </w:rPr>
            </w:pPr>
          </w:p>
        </w:tc>
      </w:tr>
    </w:tbl>
    <w:p w14:paraId="23AA183A" w14:textId="77777777" w:rsidR="00942C56" w:rsidRDefault="00942C56" w:rsidP="00942C56">
      <w:pPr>
        <w:widowControl/>
        <w:suppressAutoHyphens w:val="0"/>
        <w:rPr>
          <w:sz w:val="16"/>
        </w:rPr>
        <w:sectPr w:rsidR="00942C56">
          <w:pgSz w:w="11920" w:h="16860"/>
          <w:pgMar w:top="10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1141"/>
        <w:gridCol w:w="1141"/>
        <w:gridCol w:w="1141"/>
      </w:tblGrid>
      <w:tr w:rsidR="00942C56" w14:paraId="5C339C3C" w14:textId="77777777" w:rsidTr="00942C56">
        <w:trPr>
          <w:trHeight w:val="20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0278F" w14:textId="77777777" w:rsidR="00942C56" w:rsidRDefault="00942C56">
            <w:pPr>
              <w:pStyle w:val="TableParagraph"/>
              <w:spacing w:line="18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самостоятельного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решения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исследовательских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задач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A8586" w14:textId="77777777" w:rsidR="00942C56" w:rsidRDefault="00942C5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120B9" w14:textId="77777777" w:rsidR="00942C56" w:rsidRDefault="00942C5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13823" w14:textId="77777777" w:rsidR="00942C56" w:rsidRDefault="00942C56">
            <w:pPr>
              <w:pStyle w:val="TableParagraph"/>
              <w:rPr>
                <w:sz w:val="14"/>
              </w:rPr>
            </w:pPr>
          </w:p>
        </w:tc>
      </w:tr>
      <w:tr w:rsidR="00942C56" w14:paraId="772085F9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D9E03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ПК-11 – готовность к разработке и реализации методических моделей, методик,</w:t>
            </w:r>
          </w:p>
          <w:p w14:paraId="16A3A85E" w14:textId="77777777" w:rsidR="00942C56" w:rsidRPr="00942C56" w:rsidRDefault="00942C56">
            <w:pPr>
              <w:pStyle w:val="TableParagraph"/>
              <w:spacing w:line="196" w:lineRule="exact"/>
              <w:ind w:left="115" w:right="249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технологий и приемов обучения, к анализу результатов процесса их использования в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организациях, осуществляющих образовательную деятельность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ED85F" w14:textId="77777777" w:rsidR="00942C56" w:rsidRPr="00942C56" w:rsidRDefault="00942C56">
            <w:pPr>
              <w:pStyle w:val="TableParagraph"/>
              <w:rPr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F6D28" w14:textId="1CCDAFAE" w:rsidR="00942C56" w:rsidRDefault="000C2C06">
            <w:pPr>
              <w:pStyle w:val="TableParagraph"/>
              <w:spacing w:line="206" w:lineRule="exact"/>
              <w:ind w:left="365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</w:t>
            </w:r>
            <w:r w:rsidR="00942C56"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B7DA8" w14:textId="77777777" w:rsidR="00942C56" w:rsidRDefault="00942C56">
            <w:pPr>
              <w:pStyle w:val="TableParagraph"/>
            </w:pPr>
          </w:p>
        </w:tc>
      </w:tr>
      <w:tr w:rsidR="00942C56" w14:paraId="6814EFC4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089AF" w14:textId="77777777" w:rsidR="00942C56" w:rsidRPr="00942C56" w:rsidRDefault="00942C56">
            <w:pPr>
              <w:pStyle w:val="TableParagraph"/>
              <w:spacing w:line="202" w:lineRule="exact"/>
              <w:ind w:left="161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ПК-12 – готовность к систематизации, обобщению и распространению</w:t>
            </w:r>
          </w:p>
          <w:p w14:paraId="366ECB87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отечественного и зарубежного методического опыта в профессиональной области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C26C" w14:textId="77777777" w:rsidR="00942C56" w:rsidRPr="00942C56" w:rsidRDefault="00942C56">
            <w:pPr>
              <w:pStyle w:val="TableParagraph"/>
              <w:rPr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994E8" w14:textId="71C49627" w:rsidR="00942C56" w:rsidRPr="00942C56" w:rsidRDefault="000C2C0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262CC" w14:textId="19D9556B" w:rsidR="00942C56" w:rsidRDefault="00942C56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</w:p>
        </w:tc>
      </w:tr>
    </w:tbl>
    <w:p w14:paraId="063F333C" w14:textId="77777777" w:rsidR="00942C56" w:rsidRDefault="00942C56" w:rsidP="00942C56">
      <w:pPr>
        <w:pStyle w:val="a3"/>
        <w:spacing w:before="7"/>
        <w:rPr>
          <w:sz w:val="24"/>
        </w:rPr>
      </w:pPr>
    </w:p>
    <w:p w14:paraId="3397DBEE" w14:textId="77777777" w:rsidR="000C2C06" w:rsidRPr="000C2C06" w:rsidRDefault="000C2C06" w:rsidP="000C2C06">
      <w:pPr>
        <w:spacing w:line="360" w:lineRule="auto"/>
        <w:ind w:firstLine="70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В процессе работы   Иванюшина Дарья </w:t>
      </w:r>
      <w:proofErr w:type="gramStart"/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Андреевна  продемонстрировала</w:t>
      </w:r>
      <w:proofErr w:type="gramEnd"/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 в основном продвинутый уровень сформированности проверяемых компетенций, что соответствует оценке «хорошо».  </w:t>
      </w:r>
    </w:p>
    <w:p w14:paraId="63DD158C" w14:textId="77777777" w:rsidR="000C2C06" w:rsidRPr="000C2C06" w:rsidRDefault="000C2C06" w:rsidP="000C2C06">
      <w:pPr>
        <w:spacing w:line="100" w:lineRule="atLeast"/>
        <w:ind w:firstLine="70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Содержание диссертационного исследования</w:t>
      </w:r>
      <w:r w:rsidRPr="000C2C06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соответствует</w:t>
      </w: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предъявляемым требованиям.                               </w:t>
      </w:r>
      <w:r w:rsidRPr="000C2C06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  <w:bookmarkStart w:id="3" w:name="__DdeLink__18603_95692352"/>
      <w:bookmarkEnd w:id="3"/>
    </w:p>
    <w:p w14:paraId="33907EC4" w14:textId="77777777" w:rsidR="000C2C06" w:rsidRPr="000C2C06" w:rsidRDefault="000C2C06" w:rsidP="000C2C06">
      <w:pPr>
        <w:spacing w:line="100" w:lineRule="atLeast"/>
        <w:ind w:firstLine="709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Структура   диссертационного исследования</w:t>
      </w:r>
      <w:r w:rsidRPr="000C2C06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соответствует</w:t>
      </w: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предъявляемым требованиям.                            </w:t>
      </w:r>
      <w:r w:rsidRPr="000C2C06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</w:t>
      </w:r>
    </w:p>
    <w:p w14:paraId="495BF60D" w14:textId="77777777" w:rsidR="000C2C06" w:rsidRPr="000C2C06" w:rsidRDefault="000C2C06" w:rsidP="000C2C06">
      <w:pPr>
        <w:spacing w:line="100" w:lineRule="atLeast"/>
        <w:ind w:firstLine="709"/>
        <w:jc w:val="both"/>
        <w:rPr>
          <w:rFonts w:eastAsiaTheme="minorHAnsi" w:cs="Times New Roman"/>
          <w:kern w:val="0"/>
          <w:sz w:val="26"/>
          <w:szCs w:val="26"/>
          <w:lang w:eastAsia="en-US" w:bidi="ar-SA"/>
        </w:rPr>
      </w:pP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Оформление диссертационного исследования</w:t>
      </w:r>
      <w:r w:rsidRPr="000C2C06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соответствует</w:t>
      </w: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 xml:space="preserve"> предъявляемым требованиям.</w:t>
      </w:r>
    </w:p>
    <w:p w14:paraId="67FB2A2F" w14:textId="5B87FF66" w:rsidR="000C2C06" w:rsidRPr="000C2C06" w:rsidRDefault="000C2C06" w:rsidP="000C2C06">
      <w:pPr>
        <w:spacing w:line="100" w:lineRule="atLeast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Научный руководитель</w:t>
      </w:r>
      <w:r w:rsidRPr="000C2C06">
        <w:rPr>
          <w:rFonts w:asciiTheme="minorHAnsi" w:eastAsiaTheme="minorHAnsi" w:hAnsiTheme="minorHAnsi" w:cstheme="minorBidi"/>
          <w:noProof/>
          <w:kern w:val="0"/>
          <w:szCs w:val="22"/>
          <w:lang w:eastAsia="en-US" w:bidi="ar-SA"/>
        </w:rPr>
        <w:drawing>
          <wp:inline distT="0" distB="0" distL="0" distR="0" wp14:anchorId="298E48A2" wp14:editId="5285367B">
            <wp:extent cx="1514475" cy="47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C06">
        <w:rPr>
          <w:rFonts w:eastAsiaTheme="minorHAnsi" w:cs="Times New Roman"/>
          <w:kern w:val="0"/>
          <w:sz w:val="26"/>
          <w:szCs w:val="26"/>
          <w:lang w:eastAsia="en-US" w:bidi="ar-SA"/>
        </w:rPr>
        <w:t>/Панкова Е.С</w:t>
      </w:r>
      <w:r>
        <w:rPr>
          <w:rFonts w:eastAsiaTheme="minorHAnsi" w:cs="Times New Roman"/>
          <w:kern w:val="0"/>
          <w:sz w:val="26"/>
          <w:szCs w:val="26"/>
          <w:lang w:eastAsia="en-US" w:bidi="ar-SA"/>
        </w:rPr>
        <w:t>.</w:t>
      </w:r>
    </w:p>
    <w:sectPr w:rsidR="000C2C06" w:rsidRPr="000C2C06" w:rsidSect="000C2C06">
      <w:pgSz w:w="11920" w:h="16860"/>
      <w:pgMar w:top="1140" w:right="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C8"/>
    <w:rsid w:val="000C2C06"/>
    <w:rsid w:val="0028540D"/>
    <w:rsid w:val="00341BC8"/>
    <w:rsid w:val="00350E35"/>
    <w:rsid w:val="00356256"/>
    <w:rsid w:val="00437401"/>
    <w:rsid w:val="00583325"/>
    <w:rsid w:val="00871E55"/>
    <w:rsid w:val="00942C56"/>
    <w:rsid w:val="00B63B0C"/>
    <w:rsid w:val="00C426D0"/>
    <w:rsid w:val="00D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8224"/>
  <w15:chartTrackingRefBased/>
  <w15:docId w15:val="{97D1BA0E-0B8A-48C9-BF8E-DF30A43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35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42C56"/>
    <w:pPr>
      <w:suppressAutoHyphens w:val="0"/>
      <w:autoSpaceDE w:val="0"/>
      <w:autoSpaceDN w:val="0"/>
    </w:pPr>
    <w:rPr>
      <w:rFonts w:eastAsia="Times New Roman" w:cs="Times New Roman"/>
      <w:kern w:val="0"/>
      <w:sz w:val="26"/>
      <w:szCs w:val="26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semiHidden/>
    <w:rsid w:val="00942C5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42C56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942C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Артём Панков</cp:lastModifiedBy>
  <cp:revision>2</cp:revision>
  <dcterms:created xsi:type="dcterms:W3CDTF">2021-12-07T14:05:00Z</dcterms:created>
  <dcterms:modified xsi:type="dcterms:W3CDTF">2021-12-07T14:05:00Z</dcterms:modified>
</cp:coreProperties>
</file>